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14" w:rsidRDefault="00EC1414" w:rsidP="00EF6552">
      <w:pPr>
        <w:spacing w:before="100" w:beforeAutospacing="1" w:after="120" w:line="280" w:lineRule="exact"/>
        <w:jc w:val="center"/>
        <w:rPr>
          <w:rFonts w:ascii="Times New Roman" w:hAnsi="Times New Roman" w:cs="Times New Roman"/>
          <w:b/>
          <w:bCs/>
          <w:sz w:val="24"/>
          <w:szCs w:val="24"/>
        </w:rPr>
      </w:pPr>
      <w:r w:rsidRPr="004E0E55">
        <w:rPr>
          <w:rFonts w:ascii="Times New Roman" w:hAnsi="Times New Roman" w:cs="Times New Roman"/>
          <w:b/>
          <w:bCs/>
          <w:sz w:val="24"/>
          <w:szCs w:val="24"/>
        </w:rPr>
        <w:t xml:space="preserve">DOKTORA PROGRAMI </w:t>
      </w:r>
    </w:p>
    <w:p w:rsidR="00EC1414" w:rsidRPr="004E0E55" w:rsidRDefault="00EC1414" w:rsidP="00EF6552">
      <w:pPr>
        <w:spacing w:before="100" w:beforeAutospacing="1" w:after="120" w:line="280" w:lineRule="exact"/>
        <w:jc w:val="center"/>
        <w:rPr>
          <w:rFonts w:ascii="Times New Roman" w:hAnsi="Times New Roman" w:cs="Times New Roman"/>
          <w:b/>
          <w:bCs/>
          <w:sz w:val="24"/>
          <w:szCs w:val="24"/>
        </w:rPr>
      </w:pPr>
      <w:r w:rsidRPr="004E0E55">
        <w:rPr>
          <w:rFonts w:ascii="Times New Roman" w:hAnsi="Times New Roman" w:cs="Times New Roman"/>
          <w:b/>
          <w:bCs/>
          <w:sz w:val="24"/>
          <w:szCs w:val="24"/>
        </w:rPr>
        <w:t>ÖĞRENCİLERİ İÇİN KILAVUZ</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1. Süre;</w:t>
      </w:r>
    </w:p>
    <w:p w:rsidR="00EC1414" w:rsidRPr="004E0E55" w:rsidRDefault="00EC1414" w:rsidP="00EF6552">
      <w:pPr>
        <w:pStyle w:val="ListeParagraf"/>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Doktora programı, bilimsel hazırlıkta geçen süre hariç, tezli yüksek lisans derecesi ile kabul edilenler için kayıt olduğu programa ilişkin derslerin verildiği dönemden başlamak üzere her dönem için kayıt yaptırıp yaptırmadığına bakılmaksızın sekiz (8) yarıyıl olup azami tamamlama süresi on iki (12) yarıyıl; lisans derecesi ile kabul edilenler için on (10) yarıyıl olup azami tamamlama süresi on dört (14) yarıyıldır.</w:t>
      </w:r>
    </w:p>
    <w:p w:rsidR="00EC1414" w:rsidRPr="004E0E55" w:rsidRDefault="00EC1414" w:rsidP="00EF6552">
      <w:pPr>
        <w:pStyle w:val="ListeParagraf"/>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Doktora programında, gerekli kredili dersleri başarıyla tamamlamanın </w:t>
      </w:r>
      <w:r w:rsidRPr="004E0E55">
        <w:rPr>
          <w:rFonts w:ascii="Times New Roman" w:hAnsi="Times New Roman" w:cs="Times New Roman"/>
          <w:sz w:val="24"/>
          <w:szCs w:val="24"/>
          <w:u w:val="single"/>
        </w:rPr>
        <w:t>asgari süresi</w:t>
      </w:r>
      <w:r w:rsidRPr="004E0E55">
        <w:rPr>
          <w:rFonts w:ascii="Times New Roman" w:hAnsi="Times New Roman" w:cs="Times New Roman"/>
          <w:sz w:val="24"/>
          <w:szCs w:val="24"/>
        </w:rPr>
        <w:t xml:space="preserve"> tezli yüksek lisans derecesi ile kabul edilenler için iki yarıyıl, lisans derecesi ile kabul edilenler için dört yarıyıldır.</w:t>
      </w:r>
    </w:p>
    <w:p w:rsidR="00EC1414" w:rsidRPr="004E0E55" w:rsidRDefault="00EC1414" w:rsidP="00EF6552">
      <w:pPr>
        <w:pStyle w:val="ListeParagraf"/>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Doktora programında, </w:t>
      </w:r>
      <w:r w:rsidRPr="004B4E73">
        <w:rPr>
          <w:rFonts w:ascii="Times New Roman" w:hAnsi="Times New Roman" w:cs="Times New Roman"/>
          <w:sz w:val="24"/>
          <w:szCs w:val="24"/>
        </w:rPr>
        <w:t>gerekli kredili dersleri</w:t>
      </w:r>
      <w:r w:rsidR="00895FD6" w:rsidRPr="004B4E73">
        <w:rPr>
          <w:rFonts w:ascii="Times New Roman" w:hAnsi="Times New Roman" w:cs="Times New Roman"/>
          <w:sz w:val="24"/>
          <w:szCs w:val="24"/>
        </w:rPr>
        <w:t>, Bilimsel Araştırma ve Etik dersini ve Seminer dersini</w:t>
      </w:r>
      <w:r w:rsidRPr="004B4E73">
        <w:rPr>
          <w:rFonts w:ascii="Times New Roman" w:hAnsi="Times New Roman" w:cs="Times New Roman"/>
          <w:sz w:val="24"/>
          <w:szCs w:val="24"/>
        </w:rPr>
        <w:t xml:space="preserve"> başarıyla tamamlamanın</w:t>
      </w:r>
      <w:r w:rsidRPr="00895FD6">
        <w:rPr>
          <w:rFonts w:ascii="Times New Roman" w:hAnsi="Times New Roman" w:cs="Times New Roman"/>
          <w:sz w:val="24"/>
          <w:szCs w:val="24"/>
        </w:rPr>
        <w:t xml:space="preserve"> azami süresi</w:t>
      </w:r>
      <w:r w:rsidRPr="004E0E55">
        <w:rPr>
          <w:rFonts w:ascii="Times New Roman" w:hAnsi="Times New Roman" w:cs="Times New Roman"/>
          <w:sz w:val="24"/>
          <w:szCs w:val="24"/>
        </w:rPr>
        <w:t xml:space="preserve"> tezli yüksek lisans derecesi ile kabul edilenler için dört yarıyıl, lisans derecesi ile kabul edilenler için altı yarıyıldır. Bu süre içinde kredili derslerini başarıyla tamamlayamayan öğrencinin Üniversite ile ilişiği kesilir.</w:t>
      </w:r>
    </w:p>
    <w:p w:rsidR="00EC1414" w:rsidRPr="004E0E55" w:rsidRDefault="00EC1414" w:rsidP="00EF6552">
      <w:pPr>
        <w:pStyle w:val="ListeParagraf"/>
        <w:numPr>
          <w:ilvl w:val="0"/>
          <w:numId w:val="2"/>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2. Ders Yükü;</w:t>
      </w:r>
    </w:p>
    <w:p w:rsidR="00EC1414" w:rsidRPr="004E0E55" w:rsidRDefault="00EC1414" w:rsidP="00EF6552">
      <w:pPr>
        <w:pStyle w:val="ListeParagraf"/>
        <w:numPr>
          <w:ilvl w:val="0"/>
          <w:numId w:val="7"/>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Doktora programına </w:t>
      </w:r>
      <w:r w:rsidRPr="004E0E55">
        <w:rPr>
          <w:rFonts w:ascii="Times New Roman" w:hAnsi="Times New Roman" w:cs="Times New Roman"/>
          <w:sz w:val="24"/>
          <w:szCs w:val="24"/>
          <w:u w:val="single"/>
        </w:rPr>
        <w:t>tezli yüksek lisans derecesi ile kabul edilmiş öğrenciler için</w:t>
      </w:r>
      <w:r w:rsidRPr="004E0E55">
        <w:rPr>
          <w:rFonts w:ascii="Times New Roman" w:hAnsi="Times New Roman" w:cs="Times New Roman"/>
          <w:sz w:val="24"/>
          <w:szCs w:val="24"/>
        </w:rPr>
        <w:t xml:space="preserve"> toplam yirmi bir (21) krediden ve bir eğitim-öğretim dönemi 60 AKTS’den az olmamak koşuluyla en az yedi ders, seminer, B</w:t>
      </w:r>
      <w:r>
        <w:rPr>
          <w:rFonts w:ascii="Times New Roman" w:hAnsi="Times New Roman" w:cs="Times New Roman"/>
          <w:sz w:val="24"/>
          <w:szCs w:val="24"/>
        </w:rPr>
        <w:t>ilimsel Araştırma ve Etik dersi</w:t>
      </w:r>
      <w:r w:rsidRPr="004E0E55">
        <w:rPr>
          <w:rFonts w:ascii="Times New Roman" w:hAnsi="Times New Roman" w:cs="Times New Roman"/>
          <w:sz w:val="24"/>
          <w:szCs w:val="24"/>
        </w:rPr>
        <w:t xml:space="preserve"> (Li</w:t>
      </w:r>
      <w:r>
        <w:rPr>
          <w:rFonts w:ascii="Times New Roman" w:hAnsi="Times New Roman" w:cs="Times New Roman"/>
          <w:sz w:val="24"/>
          <w:szCs w:val="24"/>
        </w:rPr>
        <w:t>sansüstü eğitim alan öğrenciler</w:t>
      </w:r>
      <w:r w:rsidRPr="004E0E55">
        <w:rPr>
          <w:rFonts w:ascii="Times New Roman" w:hAnsi="Times New Roman" w:cs="Times New Roman"/>
          <w:sz w:val="24"/>
          <w:szCs w:val="24"/>
        </w:rPr>
        <w:t xml:space="preserve"> bir defaya mahsus olmak üzere Bilimsel Araştırma ve Etik dersini almak zorundadır) doktora yeterlik sınavı, tez önerisi, uzmanlık alan dersi ve tez çalışması olmak üzere en az 240 AKTS kredisinden oluşur.</w:t>
      </w:r>
    </w:p>
    <w:p w:rsidR="00EC1414" w:rsidRPr="004E0E55" w:rsidRDefault="00EC1414" w:rsidP="00EF6552">
      <w:pPr>
        <w:pStyle w:val="ListeParagraf"/>
        <w:numPr>
          <w:ilvl w:val="0"/>
          <w:numId w:val="7"/>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Doktora programına lisans derecesi ile kabul edilmiş öğrenciler için en az kırk iki (42) kredilik on dört (14) ders, seminer, doktora yeterlik sınavı, tez önerisi, doktora uzmanlık alan dersi ve tez çalışması olmak üzere toplam en az 300 AKTS kredisinden oluşur.</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3. Tez danışmanı ve tez konusunun en geç</w:t>
      </w:r>
      <w:r>
        <w:rPr>
          <w:rFonts w:ascii="Times New Roman" w:hAnsi="Times New Roman" w:cs="Times New Roman"/>
          <w:sz w:val="24"/>
          <w:szCs w:val="24"/>
        </w:rPr>
        <w:t xml:space="preserve"> ikinci</w:t>
      </w:r>
      <w:r w:rsidRPr="004E0E55">
        <w:rPr>
          <w:rFonts w:ascii="Times New Roman" w:hAnsi="Times New Roman" w:cs="Times New Roman"/>
          <w:sz w:val="24"/>
          <w:szCs w:val="24"/>
        </w:rPr>
        <w:t xml:space="preserve"> yarıyılın  sonuna kadar belirlenmesi gerekir.</w:t>
      </w:r>
    </w:p>
    <w:p w:rsidR="00EC1414" w:rsidRPr="004E0E55" w:rsidRDefault="00EC1414" w:rsidP="00EF6552">
      <w:p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4.Yeterlik sınavı;</w:t>
      </w:r>
      <w:r w:rsidRPr="004E0E55">
        <w:rPr>
          <w:rFonts w:ascii="Times New Roman" w:hAnsi="Times New Roman" w:cs="Times New Roman"/>
          <w:sz w:val="24"/>
          <w:szCs w:val="24"/>
          <w:shd w:val="clear" w:color="auto" w:fill="FFFFFF"/>
        </w:rPr>
        <w:t xml:space="preserve"> </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shd w:val="clear" w:color="auto" w:fill="FFFFFF"/>
        </w:rPr>
        <w:t>Öğrencinin alanındaki temel konular ile kavramlar ve doktora çalışmasıyla ilgili bilimsel araştırma derinliğine sahip olup olmadığının ölçülmesidir.</w:t>
      </w:r>
    </w:p>
    <w:p w:rsidR="00EC1414" w:rsidRPr="004E0E55" w:rsidRDefault="00EC1414" w:rsidP="00EF6552">
      <w:pPr>
        <w:pStyle w:val="ListeParagraf"/>
        <w:numPr>
          <w:ilvl w:val="0"/>
          <w:numId w:val="8"/>
        </w:num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Öğrenci yeterlik sınavı öncesi kredili derslerini, seminer dersini, Bilimsel Araştırma ve Etik dersini (yüksek lisans eğitiminde alınmamış ise) tamamlamalıdır.</w:t>
      </w:r>
    </w:p>
    <w:p w:rsidR="00EC1414" w:rsidRPr="004E0E55" w:rsidRDefault="00EC1414" w:rsidP="00EF6552">
      <w:pPr>
        <w:pStyle w:val="ListeParagraf"/>
        <w:numPr>
          <w:ilvl w:val="0"/>
          <w:numId w:val="8"/>
        </w:num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Öğrenci</w:t>
      </w:r>
      <w:r>
        <w:rPr>
          <w:rFonts w:ascii="Times New Roman" w:hAnsi="Times New Roman" w:cs="Times New Roman"/>
          <w:sz w:val="24"/>
          <w:szCs w:val="24"/>
        </w:rPr>
        <w:t>nin</w:t>
      </w:r>
      <w:r w:rsidRPr="004E0E55">
        <w:rPr>
          <w:rFonts w:ascii="Times New Roman" w:hAnsi="Times New Roman" w:cs="Times New Roman"/>
          <w:sz w:val="24"/>
          <w:szCs w:val="24"/>
        </w:rPr>
        <w:t xml:space="preserve"> yeterlik sınavına gir</w:t>
      </w:r>
      <w:r>
        <w:rPr>
          <w:rFonts w:ascii="Times New Roman" w:hAnsi="Times New Roman" w:cs="Times New Roman"/>
          <w:sz w:val="24"/>
          <w:szCs w:val="24"/>
        </w:rPr>
        <w:t>ebil</w:t>
      </w:r>
      <w:r w:rsidRPr="004E0E55">
        <w:rPr>
          <w:rFonts w:ascii="Times New Roman" w:hAnsi="Times New Roman" w:cs="Times New Roman"/>
          <w:sz w:val="24"/>
          <w:szCs w:val="24"/>
        </w:rPr>
        <w:t>mesi için başarısız dersi bulunmamalıdır.</w:t>
      </w:r>
    </w:p>
    <w:p w:rsidR="00EC1414" w:rsidRPr="004E0E55" w:rsidRDefault="00EC1414" w:rsidP="00EF6552">
      <w:pPr>
        <w:pStyle w:val="ListeParagraf"/>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Ocak ve Haziran aylarında olmak üzere 1 yılda en fazla 2 kez yeterlik sınavına girilebilir.</w:t>
      </w:r>
    </w:p>
    <w:p w:rsidR="00EC1414" w:rsidRPr="004E0E55" w:rsidRDefault="00EC1414" w:rsidP="00EF6552">
      <w:pPr>
        <w:pStyle w:val="ListeParagraf"/>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Yüksek lisans derecesi ile kabul edilen öğrenci en erken </w:t>
      </w:r>
      <w:r>
        <w:rPr>
          <w:rFonts w:ascii="Times New Roman" w:hAnsi="Times New Roman" w:cs="Times New Roman"/>
          <w:sz w:val="24"/>
          <w:szCs w:val="24"/>
        </w:rPr>
        <w:t>üçüncü. en geç beşinci</w:t>
      </w:r>
      <w:r w:rsidRPr="004E0E55">
        <w:rPr>
          <w:rFonts w:ascii="Times New Roman" w:hAnsi="Times New Roman" w:cs="Times New Roman"/>
          <w:sz w:val="24"/>
          <w:szCs w:val="24"/>
        </w:rPr>
        <w:t xml:space="preserve"> yarıyılın sonuna kadar </w:t>
      </w:r>
      <w:r w:rsidRPr="004E0E55">
        <w:rPr>
          <w:rFonts w:ascii="Times New Roman" w:hAnsi="Times New Roman" w:cs="Times New Roman"/>
          <w:sz w:val="24"/>
          <w:szCs w:val="24"/>
          <w:u w:val="single"/>
        </w:rPr>
        <w:t>ilk yeterlik sınavına</w:t>
      </w:r>
      <w:r w:rsidRPr="004E0E55">
        <w:rPr>
          <w:rFonts w:ascii="Times New Roman" w:hAnsi="Times New Roman" w:cs="Times New Roman"/>
          <w:sz w:val="24"/>
          <w:szCs w:val="24"/>
        </w:rPr>
        <w:t xml:space="preserve"> girmek zorundadır.</w:t>
      </w:r>
    </w:p>
    <w:p w:rsidR="00EC1414" w:rsidRPr="004E0E55" w:rsidRDefault="00EC1414" w:rsidP="00EF6552">
      <w:pPr>
        <w:pStyle w:val="ListeParagraf"/>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Lisans derecesi ile kabul edilmiş olan öğrenci en erken </w:t>
      </w:r>
      <w:r>
        <w:rPr>
          <w:rFonts w:ascii="Times New Roman" w:hAnsi="Times New Roman" w:cs="Times New Roman"/>
          <w:sz w:val="24"/>
          <w:szCs w:val="24"/>
        </w:rPr>
        <w:t>dördüncü</w:t>
      </w:r>
      <w:r w:rsidRPr="004E0E55">
        <w:rPr>
          <w:rFonts w:ascii="Times New Roman" w:hAnsi="Times New Roman" w:cs="Times New Roman"/>
          <w:sz w:val="24"/>
          <w:szCs w:val="24"/>
        </w:rPr>
        <w:t xml:space="preserve">. en geç </w:t>
      </w:r>
      <w:r>
        <w:rPr>
          <w:rFonts w:ascii="Times New Roman" w:hAnsi="Times New Roman" w:cs="Times New Roman"/>
          <w:sz w:val="24"/>
          <w:szCs w:val="24"/>
        </w:rPr>
        <w:t>yedinci</w:t>
      </w:r>
      <w:r w:rsidRPr="004E0E55">
        <w:rPr>
          <w:rFonts w:ascii="Times New Roman" w:hAnsi="Times New Roman" w:cs="Times New Roman"/>
          <w:sz w:val="24"/>
          <w:szCs w:val="24"/>
        </w:rPr>
        <w:t xml:space="preserve"> yarıyılın sonuna kadar ilk yeterlik sınavına girmek zorundadır.</w:t>
      </w:r>
    </w:p>
    <w:p w:rsidR="00EC1414" w:rsidRPr="004E0E55" w:rsidRDefault="00EC1414" w:rsidP="00EF6552">
      <w:pPr>
        <w:pStyle w:val="ListeParagraf"/>
        <w:numPr>
          <w:ilvl w:val="0"/>
          <w:numId w:val="8"/>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shd w:val="clear" w:color="auto" w:fill="FFFFFF"/>
        </w:rPr>
        <w:lastRenderedPageBreak/>
        <w:t xml:space="preserve"> Yeterlik sınavını, yüksek lisans derecesi ile kabul edilen öğrenci </w:t>
      </w:r>
      <w:r w:rsidRPr="004E0E55">
        <w:rPr>
          <w:rFonts w:ascii="Times New Roman" w:hAnsi="Times New Roman" w:cs="Times New Roman"/>
          <w:sz w:val="24"/>
          <w:szCs w:val="24"/>
          <w:u w:val="single"/>
          <w:shd w:val="clear" w:color="auto" w:fill="FFFFFF"/>
        </w:rPr>
        <w:t>en geç</w:t>
      </w:r>
      <w:r w:rsidRPr="004E0E55">
        <w:rPr>
          <w:rFonts w:ascii="Times New Roman" w:hAnsi="Times New Roman" w:cs="Times New Roman"/>
          <w:sz w:val="24"/>
          <w:szCs w:val="24"/>
          <w:shd w:val="clear" w:color="auto" w:fill="FFFFFF"/>
        </w:rPr>
        <w:t xml:space="preserve"> yedinci yarıyılın, lisans derecesi ile kabul edilmiş olan öğrenci en geç dokuzuncu yarıyılın sonuna kadar başarmak zorundadır.</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5. Tez İzleme Komitesi;</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Yeterlik sınavında başarılı olan öğrencinin tez izleme komitesi </w:t>
      </w:r>
      <w:r w:rsidRPr="004E0E55">
        <w:rPr>
          <w:rFonts w:ascii="Times New Roman" w:hAnsi="Times New Roman" w:cs="Times New Roman"/>
          <w:sz w:val="24"/>
          <w:szCs w:val="24"/>
          <w:u w:val="single"/>
        </w:rPr>
        <w:t>en geç 1 ay içerisinde</w:t>
      </w:r>
      <w:r w:rsidRPr="004E0E55">
        <w:rPr>
          <w:rFonts w:ascii="Times New Roman" w:hAnsi="Times New Roman" w:cs="Times New Roman"/>
          <w:sz w:val="24"/>
          <w:szCs w:val="24"/>
        </w:rPr>
        <w:t xml:space="preserve"> atanmalıdır. </w:t>
      </w:r>
      <w:r w:rsidRPr="004E0E55">
        <w:rPr>
          <w:rFonts w:ascii="Times New Roman" w:hAnsi="Times New Roman" w:cs="Times New Roman"/>
          <w:sz w:val="24"/>
          <w:szCs w:val="24"/>
          <w:shd w:val="clear" w:color="auto" w:fill="FFFFFF"/>
        </w:rPr>
        <w:t>Tez izleme komitesi üç öğretim üyesinden oluşur. Komitede tez danışmanından başka enstitü anabilim dalı içinden ve dışından birer üye yer alır. İkinci tez danışmanının atanması durumunda ikinci tez danışmanı, dilerse komite toplantılarına katılabilir ancak tez izleme komitesi üyesi olamaz.</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6.Tez Önerisi Savunması;</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 xml:space="preserve">Yeterlilik sınavından başarılı olan öğrenci </w:t>
      </w:r>
      <w:r w:rsidRPr="004E0E55">
        <w:rPr>
          <w:rFonts w:ascii="Times New Roman" w:hAnsi="Times New Roman" w:cs="Times New Roman"/>
          <w:sz w:val="24"/>
          <w:szCs w:val="24"/>
          <w:shd w:val="clear" w:color="auto" w:fill="FFFFFF"/>
        </w:rPr>
        <w:t>en geç altı ay içinde, yapacağı araştırmanın amacını, yöntemini ve çalışma planını kapsayan tez önerisini tez izleme komitesi önünde sözlü olarak savunur</w:t>
      </w:r>
      <w:r w:rsidRPr="004E0E55">
        <w:rPr>
          <w:rFonts w:ascii="Times New Roman" w:hAnsi="Times New Roman" w:cs="Times New Roman"/>
          <w:color w:val="22313C"/>
          <w:sz w:val="24"/>
          <w:szCs w:val="24"/>
          <w:shd w:val="clear" w:color="auto" w:fill="FFFFFF"/>
        </w:rPr>
        <w:t>.</w:t>
      </w:r>
      <w:r w:rsidRPr="004E0E55">
        <w:rPr>
          <w:rFonts w:ascii="Times New Roman" w:hAnsi="Times New Roman" w:cs="Times New Roman"/>
          <w:sz w:val="24"/>
          <w:szCs w:val="24"/>
        </w:rPr>
        <w:t xml:space="preserve"> </w:t>
      </w:r>
    </w:p>
    <w:p w:rsidR="00EC1414" w:rsidRPr="004E0E55" w:rsidRDefault="00EC1414" w:rsidP="00EF6552">
      <w:p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7. Tez İzleme Komitesi Raporları ;</w:t>
      </w:r>
    </w:p>
    <w:p w:rsidR="00EC1414" w:rsidRPr="004E0E55" w:rsidRDefault="00EC1414" w:rsidP="00EF6552">
      <w:p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rPr>
        <w:t xml:space="preserve">Tez önerisi kabul edilen öğrenci için tez izleme komitesi, Ocak-Haziran ve Temmuz- Aralık ayları arasında birer defa olmak üzere yılda  2 kez toplanır. </w:t>
      </w:r>
      <w:r w:rsidRPr="004E0E55">
        <w:rPr>
          <w:rFonts w:ascii="Times New Roman" w:hAnsi="Times New Roman" w:cs="Times New Roman"/>
          <w:sz w:val="24"/>
          <w:szCs w:val="24"/>
          <w:shd w:val="clear" w:color="auto" w:fill="FFFFFF"/>
        </w:rPr>
        <w:t>Öğrenci, toplantı tarihinden en az bir ay önce komite üyelerine yazılı bir rapor sunar. Bu raporda o ana kadar yapılan çalışmaların özeti ve bir sonraki dönemde yapılacak çalışma planı belirtilir.</w:t>
      </w:r>
    </w:p>
    <w:p w:rsidR="00EC1414" w:rsidRPr="004E0E55" w:rsidRDefault="00EC1414" w:rsidP="00EF6552">
      <w:pPr>
        <w:spacing w:before="100" w:beforeAutospacing="1" w:after="120" w:line="280" w:lineRule="exact"/>
        <w:rPr>
          <w:rFonts w:ascii="Times New Roman" w:hAnsi="Times New Roman" w:cs="Times New Roman"/>
          <w:sz w:val="24"/>
          <w:szCs w:val="24"/>
          <w:shd w:val="clear" w:color="auto" w:fill="FFFFFF"/>
        </w:rPr>
      </w:pPr>
      <w:r w:rsidRPr="004E0E55">
        <w:rPr>
          <w:rFonts w:ascii="Times New Roman" w:hAnsi="Times New Roman" w:cs="Times New Roman"/>
          <w:sz w:val="24"/>
          <w:szCs w:val="24"/>
          <w:shd w:val="clear" w:color="auto" w:fill="FFFFFF"/>
        </w:rPr>
        <w:t xml:space="preserve">8. Tez önerisi kabul edilen bir öğrenci ilerleyen süreçte tez konusunda ve tez başlığında değişiklik yapmak istediği takdirde öncelikle öğrencinin gerekçesi, danışmanın görüşü, anabilim dalı başkanının önerisi ve enstitü yönetim kurulunun onayı gereklidir. Enstitü yönetim kurulu tarafından tez konusu değişliği onaylanan bir öğrenci için süreç yeterlik sınavından sonraki basamaktan başlar. Tez konusu değişen bir öğrenci yeni tez çalışması ile ilgili tez önerisi savunması ve en az üç tez izleme komitesi raporu sunduktan sonra tez sınavına girmek üzere başvurabilir. </w:t>
      </w:r>
    </w:p>
    <w:p w:rsidR="00EC1414" w:rsidRPr="004E0E55" w:rsidRDefault="00EC1414" w:rsidP="00EF6552">
      <w:pPr>
        <w:spacing w:before="100" w:beforeAutospacing="1" w:after="120" w:line="280" w:lineRule="exact"/>
        <w:rPr>
          <w:rFonts w:ascii="Times New Roman" w:hAnsi="Times New Roman" w:cs="Times New Roman"/>
          <w:sz w:val="24"/>
          <w:szCs w:val="24"/>
        </w:rPr>
      </w:pPr>
      <w:r>
        <w:rPr>
          <w:rFonts w:ascii="Times New Roman" w:hAnsi="Times New Roman" w:cs="Times New Roman"/>
          <w:sz w:val="24"/>
          <w:szCs w:val="24"/>
        </w:rPr>
        <w:t>9. Tezin Sonuçlanması</w:t>
      </w:r>
      <w:r w:rsidRPr="004E0E55">
        <w:rPr>
          <w:rFonts w:ascii="Times New Roman" w:hAnsi="Times New Roman" w:cs="Times New Roman"/>
          <w:sz w:val="24"/>
          <w:szCs w:val="24"/>
        </w:rPr>
        <w:t>;</w:t>
      </w:r>
    </w:p>
    <w:p w:rsidR="00EC1414" w:rsidRPr="004E0E55" w:rsidRDefault="00EC1414" w:rsidP="00EF6552">
      <w:pPr>
        <w:pStyle w:val="ListeParagraf"/>
        <w:numPr>
          <w:ilvl w:val="0"/>
          <w:numId w:val="9"/>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Tezin sonuçlanabilmesi için başarılı olarak değerlendirilen en az 3 tez izleme komitesi raporunun Enstitüye sunulması gerekir.</w:t>
      </w:r>
    </w:p>
    <w:p w:rsidR="00EC1414" w:rsidRPr="004E0E55" w:rsidRDefault="00EC1414" w:rsidP="00EF6552">
      <w:pPr>
        <w:pStyle w:val="ListeParagraf"/>
        <w:numPr>
          <w:ilvl w:val="0"/>
          <w:numId w:val="9"/>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Öğrenci</w:t>
      </w:r>
      <w:r>
        <w:rPr>
          <w:rFonts w:ascii="Times New Roman" w:hAnsi="Times New Roman" w:cs="Times New Roman"/>
          <w:sz w:val="24"/>
          <w:szCs w:val="24"/>
        </w:rPr>
        <w:t>, Enstitüy</w:t>
      </w:r>
      <w:r w:rsidRPr="004E0E55">
        <w:rPr>
          <w:rFonts w:ascii="Times New Roman" w:hAnsi="Times New Roman" w:cs="Times New Roman"/>
          <w:sz w:val="24"/>
          <w:szCs w:val="24"/>
        </w:rPr>
        <w:t xml:space="preserve">e başvurarak tez çalışmasının intihal raporunu almalıdır. </w:t>
      </w:r>
    </w:p>
    <w:p w:rsidR="00EC1414" w:rsidRPr="004E0E55" w:rsidRDefault="00EC1414" w:rsidP="00EF6552">
      <w:pPr>
        <w:pStyle w:val="ListeParagraf"/>
        <w:numPr>
          <w:ilvl w:val="0"/>
          <w:numId w:val="9"/>
        </w:numPr>
        <w:spacing w:before="100" w:beforeAutospacing="1" w:after="120" w:line="280" w:lineRule="exact"/>
        <w:rPr>
          <w:rFonts w:ascii="Times New Roman" w:hAnsi="Times New Roman" w:cs="Times New Roman"/>
          <w:sz w:val="24"/>
          <w:szCs w:val="24"/>
        </w:rPr>
      </w:pPr>
      <w:r w:rsidRPr="004E0E55">
        <w:rPr>
          <w:rFonts w:ascii="Times New Roman" w:hAnsi="Times New Roman" w:cs="Times New Roman"/>
          <w:sz w:val="24"/>
          <w:szCs w:val="24"/>
        </w:rPr>
        <w:t>Tez bitirme sınavına girilebilmesi için aşağıda belirtilen üç maddeden en az birinin sağlanması gerekir.</w:t>
      </w:r>
    </w:p>
    <w:p w:rsidR="00EC1414" w:rsidRPr="004E0E55" w:rsidRDefault="00EC1414" w:rsidP="00EF6552">
      <w:pPr>
        <w:pStyle w:val="ListeParagraf"/>
        <w:numPr>
          <w:ilvl w:val="0"/>
          <w:numId w:val="11"/>
        </w:numPr>
        <w:spacing w:before="100" w:beforeAutospacing="1" w:after="120" w:line="280" w:lineRule="exact"/>
        <w:ind w:hanging="371"/>
        <w:rPr>
          <w:rFonts w:ascii="Times New Roman" w:hAnsi="Times New Roman" w:cs="Times New Roman"/>
          <w:sz w:val="24"/>
          <w:szCs w:val="24"/>
        </w:rPr>
      </w:pPr>
      <w:r w:rsidRPr="004E0E55">
        <w:rPr>
          <w:rFonts w:ascii="Times New Roman" w:hAnsi="Times New Roman" w:cs="Times New Roman"/>
          <w:sz w:val="24"/>
          <w:szCs w:val="24"/>
        </w:rPr>
        <w:t>SCI, SSCI (expanded dahil), AHCI index tarafından taranan dergilerden birinde doktora tez çalışması kapsamında yapılmış en az 1 (bir) yayının kabul edilmiş olması gerekir.</w:t>
      </w:r>
    </w:p>
    <w:p w:rsidR="00EC1414" w:rsidRPr="004E0E55" w:rsidRDefault="00EC1414" w:rsidP="00EF6552">
      <w:pPr>
        <w:pStyle w:val="ListeParagraf"/>
        <w:numPr>
          <w:ilvl w:val="0"/>
          <w:numId w:val="11"/>
        </w:numPr>
        <w:spacing w:before="100" w:beforeAutospacing="1" w:after="120" w:line="280" w:lineRule="exact"/>
        <w:ind w:hanging="371"/>
        <w:rPr>
          <w:rFonts w:ascii="Times New Roman" w:hAnsi="Times New Roman" w:cs="Times New Roman"/>
          <w:sz w:val="24"/>
          <w:szCs w:val="24"/>
        </w:rPr>
      </w:pPr>
      <w:r w:rsidRPr="004E0E55">
        <w:rPr>
          <w:rFonts w:ascii="Times New Roman" w:hAnsi="Times New Roman" w:cs="Times New Roman"/>
          <w:sz w:val="24"/>
          <w:szCs w:val="24"/>
        </w:rPr>
        <w:t>Öğrencinin tez konusu kapsamında, öğrencinin de araştırmacı olarak görev aldığı, TÜBİTAK, Araştırma Enstitüleri, Avrupa Birliği vb. gibi bilimsel bir kurum ya da kuruluş tarafından desteklenen (BAP hariç) bir proje tamamlatılmış olması gerekir.</w:t>
      </w:r>
    </w:p>
    <w:p w:rsidR="00EC1414" w:rsidRPr="004E0E55" w:rsidRDefault="00EC1414" w:rsidP="00EF6552">
      <w:pPr>
        <w:pStyle w:val="ListeParagraf"/>
        <w:numPr>
          <w:ilvl w:val="0"/>
          <w:numId w:val="11"/>
        </w:numPr>
        <w:spacing w:before="100" w:beforeAutospacing="1" w:after="120" w:line="280" w:lineRule="exact"/>
        <w:ind w:hanging="371"/>
        <w:rPr>
          <w:rFonts w:ascii="Times New Roman" w:hAnsi="Times New Roman" w:cs="Times New Roman"/>
          <w:sz w:val="24"/>
          <w:szCs w:val="24"/>
        </w:rPr>
      </w:pPr>
      <w:r w:rsidRPr="004E0E55">
        <w:rPr>
          <w:rFonts w:ascii="Times New Roman" w:hAnsi="Times New Roman" w:cs="Times New Roman"/>
          <w:sz w:val="24"/>
          <w:szCs w:val="24"/>
        </w:rPr>
        <w:t>Uluslararası kongrelerde tez çalışmasından hazırlanmış I. (birinci) isimli en az 1 (bir) bildiri (sözlü veya poster) sunulmuş olması gerekir.</w:t>
      </w:r>
    </w:p>
    <w:p w:rsidR="00EC1414" w:rsidRPr="004E0E55" w:rsidRDefault="00EC1414" w:rsidP="00EF6552">
      <w:pPr>
        <w:pStyle w:val="NormalWeb"/>
        <w:shd w:val="clear" w:color="auto" w:fill="FFFFFF"/>
        <w:spacing w:after="120" w:afterAutospacing="0" w:line="280" w:lineRule="exact"/>
      </w:pPr>
      <w:r w:rsidRPr="004E0E55">
        <w:t>10.  Başarı Notu;</w:t>
      </w:r>
    </w:p>
    <w:p w:rsidR="00EC1414" w:rsidRPr="004E0E55" w:rsidRDefault="00EC1414" w:rsidP="00EF6552">
      <w:pPr>
        <w:pStyle w:val="NormalWeb"/>
        <w:shd w:val="clear" w:color="auto" w:fill="FFFFFF"/>
        <w:spacing w:after="120" w:afterAutospacing="0" w:line="280" w:lineRule="exact"/>
      </w:pPr>
      <w:r w:rsidRPr="004E0E55">
        <w:t xml:space="preserve"> </w:t>
      </w:r>
      <w:r w:rsidRPr="004E0E55">
        <w:tab/>
        <w:t>a) Bir dersten başarılı sayılabilmek için kredili derslerden yarıyıl/</w:t>
      </w:r>
      <w:r>
        <w:t xml:space="preserve"> </w:t>
      </w:r>
      <w:r w:rsidRPr="004E0E55">
        <w:t>yılsonu notu (CB), kredisiz derslerden ise (S) notu alınmış olması gerekir.</w:t>
      </w:r>
    </w:p>
    <w:p w:rsidR="00EC1414" w:rsidRPr="004E0E55" w:rsidRDefault="00EC1414" w:rsidP="00EF6552">
      <w:pPr>
        <w:pStyle w:val="NormalWeb"/>
        <w:shd w:val="clear" w:color="auto" w:fill="FFFFFF"/>
        <w:spacing w:after="120" w:afterAutospacing="0" w:line="280" w:lineRule="exact"/>
      </w:pPr>
      <w:r w:rsidRPr="004E0E55">
        <w:lastRenderedPageBreak/>
        <w:t xml:space="preserve">           b) Öğrenciler, başarısız oldukları zorunlu dersleri açıldığı ilk yarıyıl tekrar</w:t>
      </w:r>
      <w:r>
        <w:t xml:space="preserve"> al</w:t>
      </w:r>
      <w:r w:rsidRPr="004E0E55">
        <w:t xml:space="preserve">mak, </w:t>
      </w:r>
      <w:r w:rsidRPr="004B4E73">
        <w:t>seçmeli dersler</w:t>
      </w:r>
      <w:r w:rsidR="00895FD6" w:rsidRPr="004B4E73">
        <w:t>i açıldığı ilk yarıyılda almak veya yerine</w:t>
      </w:r>
      <w:r w:rsidRPr="004E0E55">
        <w:t xml:space="preserve"> danışmanının önerdiği ve Enstitü Yönetim Kurulunun onayladığı eşdeğer kabul edilen dersleri almak zorundadır.</w:t>
      </w:r>
    </w:p>
    <w:p w:rsidR="00EC1414" w:rsidRPr="004E0E55" w:rsidRDefault="00EC1414" w:rsidP="00EF6552">
      <w:pPr>
        <w:pStyle w:val="NormalWeb"/>
        <w:shd w:val="clear" w:color="auto" w:fill="FFFFFF"/>
        <w:spacing w:after="120" w:afterAutospacing="0" w:line="280" w:lineRule="exact"/>
      </w:pPr>
      <w:r w:rsidRPr="004E0E55">
        <w:t xml:space="preserve">           c) Derslerini tamamlamış olan  doktora öğrencisinin  genel not ortalamasının en az 3.00 olması gerekir.</w:t>
      </w: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pStyle w:val="NormalWeb"/>
        <w:shd w:val="clear" w:color="auto" w:fill="FFFFFF"/>
        <w:spacing w:after="120" w:afterAutospacing="0" w:line="280" w:lineRule="exact"/>
      </w:pPr>
    </w:p>
    <w:p w:rsidR="00EC1414" w:rsidRPr="004E0E55" w:rsidRDefault="00EC1414" w:rsidP="00EF6552">
      <w:pPr>
        <w:spacing w:before="100" w:beforeAutospacing="1" w:after="120" w:line="280" w:lineRule="exact"/>
        <w:rPr>
          <w:rFonts w:ascii="Times New Roman" w:hAnsi="Times New Roman" w:cs="Times New Roman"/>
          <w:sz w:val="24"/>
          <w:szCs w:val="24"/>
        </w:rPr>
      </w:pPr>
    </w:p>
    <w:sectPr w:rsidR="00EC1414" w:rsidRPr="004E0E55" w:rsidSect="00EF6552">
      <w:footerReference w:type="default" r:id="rId7"/>
      <w:pgSz w:w="11906" w:h="16838"/>
      <w:pgMar w:top="1079" w:right="1126" w:bottom="72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871" w:rsidRDefault="00612871" w:rsidP="00966F03">
      <w:r>
        <w:separator/>
      </w:r>
    </w:p>
  </w:endnote>
  <w:endnote w:type="continuationSeparator" w:id="1">
    <w:p w:rsidR="00612871" w:rsidRDefault="00612871" w:rsidP="0096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14" w:rsidRDefault="00D33D77">
    <w:pPr>
      <w:pStyle w:val="Altbilgi"/>
    </w:pPr>
    <w:r>
      <w:rPr>
        <w:noProof/>
        <w:lang w:eastAsia="tr-TR"/>
      </w:rPr>
      <w:pict>
        <v:rect id="_x0000_s2049" style="position:absolute;left:0;text-align:left;margin-left:547.3pt;margin-top:805.9pt;width:60pt;height:70.5pt;z-index:251660288;mso-position-horizontal-relative:page;mso-position-vertical-relative:page" stroked="f">
          <v:textbox style="mso-next-textbox:#_x0000_s2049">
            <w:txbxContent>
              <w:p w:rsidR="00EC1414" w:rsidRPr="00EF6552" w:rsidRDefault="00D33D77">
                <w:pPr>
                  <w:jc w:val="center"/>
                  <w:rPr>
                    <w:rFonts w:ascii="Times New Roman" w:hAnsi="Times New Roman" w:cs="Times New Roman"/>
                    <w:sz w:val="32"/>
                    <w:szCs w:val="32"/>
                  </w:rPr>
                </w:pPr>
                <w:r w:rsidRPr="00EF6552">
                  <w:rPr>
                    <w:rFonts w:ascii="Times New Roman" w:hAnsi="Times New Roman" w:cs="Times New Roman"/>
                    <w:sz w:val="32"/>
                    <w:szCs w:val="32"/>
                  </w:rPr>
                  <w:fldChar w:fldCharType="begin"/>
                </w:r>
                <w:r w:rsidR="00EC1414" w:rsidRPr="00EF6552">
                  <w:rPr>
                    <w:rFonts w:ascii="Times New Roman" w:hAnsi="Times New Roman" w:cs="Times New Roman"/>
                    <w:sz w:val="32"/>
                    <w:szCs w:val="32"/>
                  </w:rPr>
                  <w:instrText xml:space="preserve"> PAGE   \* MERGEFORMAT </w:instrText>
                </w:r>
                <w:r w:rsidRPr="00EF6552">
                  <w:rPr>
                    <w:rFonts w:ascii="Times New Roman" w:hAnsi="Times New Roman" w:cs="Times New Roman"/>
                    <w:sz w:val="32"/>
                    <w:szCs w:val="32"/>
                  </w:rPr>
                  <w:fldChar w:fldCharType="separate"/>
                </w:r>
                <w:r w:rsidR="004B4E73">
                  <w:rPr>
                    <w:rFonts w:ascii="Times New Roman" w:hAnsi="Times New Roman" w:cs="Times New Roman"/>
                    <w:noProof/>
                    <w:sz w:val="32"/>
                    <w:szCs w:val="32"/>
                  </w:rPr>
                  <w:t>1</w:t>
                </w:r>
                <w:r w:rsidRPr="00EF6552">
                  <w:rPr>
                    <w:rFonts w:ascii="Times New Roman" w:hAnsi="Times New Roman" w:cs="Times New Roman"/>
                    <w:sz w:val="32"/>
                    <w:szCs w:val="32"/>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871" w:rsidRDefault="00612871" w:rsidP="00966F03">
      <w:r>
        <w:separator/>
      </w:r>
    </w:p>
  </w:footnote>
  <w:footnote w:type="continuationSeparator" w:id="1">
    <w:p w:rsidR="00612871" w:rsidRDefault="00612871" w:rsidP="00966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16D7"/>
    <w:multiLevelType w:val="hybridMultilevel"/>
    <w:tmpl w:val="A600FD5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750355E"/>
    <w:multiLevelType w:val="hybridMultilevel"/>
    <w:tmpl w:val="63FC276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7BC55B5"/>
    <w:multiLevelType w:val="hybridMultilevel"/>
    <w:tmpl w:val="93A8FB3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F63043A"/>
    <w:multiLevelType w:val="hybridMultilevel"/>
    <w:tmpl w:val="A5B8161A"/>
    <w:lvl w:ilvl="0" w:tplc="EC029CE0">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B541E9"/>
    <w:multiLevelType w:val="hybridMultilevel"/>
    <w:tmpl w:val="EA9CFB7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0162746"/>
    <w:multiLevelType w:val="hybridMultilevel"/>
    <w:tmpl w:val="BCCA42FA"/>
    <w:lvl w:ilvl="0" w:tplc="2F4E3710">
      <w:start w:val="1"/>
      <w:numFmt w:val="lowerLetter"/>
      <w:lvlText w:val="%1."/>
      <w:lvlJc w:val="left"/>
      <w:pPr>
        <w:ind w:left="720" w:hanging="360"/>
      </w:pPr>
      <w:rPr>
        <w:rFonts w:ascii="Times New Roman" w:hAnsi="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12C50CB"/>
    <w:multiLevelType w:val="hybridMultilevel"/>
    <w:tmpl w:val="1666C26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2456C2A"/>
    <w:multiLevelType w:val="hybridMultilevel"/>
    <w:tmpl w:val="AD8ED418"/>
    <w:lvl w:ilvl="0" w:tplc="041F000B">
      <w:start w:val="1"/>
      <w:numFmt w:val="bullet"/>
      <w:lvlText w:val=""/>
      <w:lvlJc w:val="left"/>
      <w:pPr>
        <w:ind w:left="1515" w:hanging="360"/>
      </w:pPr>
      <w:rPr>
        <w:rFonts w:ascii="Wingdings" w:hAnsi="Wingdings" w:hint="default"/>
      </w:rPr>
    </w:lvl>
    <w:lvl w:ilvl="1" w:tplc="041F0003">
      <w:start w:val="1"/>
      <w:numFmt w:val="bullet"/>
      <w:lvlText w:val="o"/>
      <w:lvlJc w:val="left"/>
      <w:pPr>
        <w:ind w:left="2235" w:hanging="360"/>
      </w:pPr>
      <w:rPr>
        <w:rFonts w:ascii="Courier New" w:hAnsi="Courier New" w:cs="Courier New" w:hint="default"/>
      </w:rPr>
    </w:lvl>
    <w:lvl w:ilvl="2" w:tplc="041F0005">
      <w:start w:val="1"/>
      <w:numFmt w:val="bullet"/>
      <w:lvlText w:val=""/>
      <w:lvlJc w:val="left"/>
      <w:pPr>
        <w:ind w:left="2955" w:hanging="360"/>
      </w:pPr>
      <w:rPr>
        <w:rFonts w:ascii="Wingdings" w:hAnsi="Wingdings" w:cs="Wingdings" w:hint="default"/>
      </w:rPr>
    </w:lvl>
    <w:lvl w:ilvl="3" w:tplc="041F0001">
      <w:start w:val="1"/>
      <w:numFmt w:val="bullet"/>
      <w:lvlText w:val=""/>
      <w:lvlJc w:val="left"/>
      <w:pPr>
        <w:ind w:left="3675" w:hanging="360"/>
      </w:pPr>
      <w:rPr>
        <w:rFonts w:ascii="Symbol" w:hAnsi="Symbol" w:cs="Symbol" w:hint="default"/>
      </w:rPr>
    </w:lvl>
    <w:lvl w:ilvl="4" w:tplc="041F0003">
      <w:start w:val="1"/>
      <w:numFmt w:val="bullet"/>
      <w:lvlText w:val="o"/>
      <w:lvlJc w:val="left"/>
      <w:pPr>
        <w:ind w:left="4395" w:hanging="360"/>
      </w:pPr>
      <w:rPr>
        <w:rFonts w:ascii="Courier New" w:hAnsi="Courier New" w:cs="Courier New" w:hint="default"/>
      </w:rPr>
    </w:lvl>
    <w:lvl w:ilvl="5" w:tplc="041F0005">
      <w:start w:val="1"/>
      <w:numFmt w:val="bullet"/>
      <w:lvlText w:val=""/>
      <w:lvlJc w:val="left"/>
      <w:pPr>
        <w:ind w:left="5115" w:hanging="360"/>
      </w:pPr>
      <w:rPr>
        <w:rFonts w:ascii="Wingdings" w:hAnsi="Wingdings" w:cs="Wingdings" w:hint="default"/>
      </w:rPr>
    </w:lvl>
    <w:lvl w:ilvl="6" w:tplc="041F0001">
      <w:start w:val="1"/>
      <w:numFmt w:val="bullet"/>
      <w:lvlText w:val=""/>
      <w:lvlJc w:val="left"/>
      <w:pPr>
        <w:ind w:left="5835" w:hanging="360"/>
      </w:pPr>
      <w:rPr>
        <w:rFonts w:ascii="Symbol" w:hAnsi="Symbol" w:cs="Symbol" w:hint="default"/>
      </w:rPr>
    </w:lvl>
    <w:lvl w:ilvl="7" w:tplc="041F0003">
      <w:start w:val="1"/>
      <w:numFmt w:val="bullet"/>
      <w:lvlText w:val="o"/>
      <w:lvlJc w:val="left"/>
      <w:pPr>
        <w:ind w:left="6555" w:hanging="360"/>
      </w:pPr>
      <w:rPr>
        <w:rFonts w:ascii="Courier New" w:hAnsi="Courier New" w:cs="Courier New" w:hint="default"/>
      </w:rPr>
    </w:lvl>
    <w:lvl w:ilvl="8" w:tplc="041F0005">
      <w:start w:val="1"/>
      <w:numFmt w:val="bullet"/>
      <w:lvlText w:val=""/>
      <w:lvlJc w:val="left"/>
      <w:pPr>
        <w:ind w:left="7275" w:hanging="360"/>
      </w:pPr>
      <w:rPr>
        <w:rFonts w:ascii="Wingdings" w:hAnsi="Wingdings" w:cs="Wingdings" w:hint="default"/>
      </w:rPr>
    </w:lvl>
  </w:abstractNum>
  <w:abstractNum w:abstractNumId="8">
    <w:nsid w:val="585E54DE"/>
    <w:multiLevelType w:val="hybridMultilevel"/>
    <w:tmpl w:val="3740E47A"/>
    <w:lvl w:ilvl="0" w:tplc="263E63B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nsid w:val="5F951789"/>
    <w:multiLevelType w:val="hybridMultilevel"/>
    <w:tmpl w:val="E15AE276"/>
    <w:lvl w:ilvl="0" w:tplc="A25AE5C2">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29B7C6D"/>
    <w:multiLevelType w:val="hybridMultilevel"/>
    <w:tmpl w:val="63AE932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7E8A43A0"/>
    <w:multiLevelType w:val="hybridMultilevel"/>
    <w:tmpl w:val="3C62D20C"/>
    <w:lvl w:ilvl="0" w:tplc="CA48CE90">
      <w:start w:val="1"/>
      <w:numFmt w:val="lowerLetter"/>
      <w:lvlText w:val="%1)"/>
      <w:lvlJc w:val="left"/>
      <w:pPr>
        <w:ind w:left="1623" w:hanging="915"/>
      </w:pPr>
      <w:rPr>
        <w:rFonts w:ascii="Times New Roman" w:eastAsia="Times New Roman" w:hAnsi="Times New Roman"/>
        <w:sz w:val="15"/>
        <w:szCs w:val="15"/>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7"/>
  </w:num>
  <w:num w:numId="2">
    <w:abstractNumId w:val="1"/>
  </w:num>
  <w:num w:numId="3">
    <w:abstractNumId w:val="2"/>
  </w:num>
  <w:num w:numId="4">
    <w:abstractNumId w:val="4"/>
  </w:num>
  <w:num w:numId="5">
    <w:abstractNumId w:val="0"/>
  </w:num>
  <w:num w:numId="6">
    <w:abstractNumId w:val="11"/>
  </w:num>
  <w:num w:numId="7">
    <w:abstractNumId w:val="10"/>
  </w:num>
  <w:num w:numId="8">
    <w:abstractNumId w:val="5"/>
  </w:num>
  <w:num w:numId="9">
    <w:abstractNumId w:val="6"/>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EE04AB"/>
    <w:rsid w:val="000000E6"/>
    <w:rsid w:val="00002438"/>
    <w:rsid w:val="000237AA"/>
    <w:rsid w:val="00045813"/>
    <w:rsid w:val="000475C7"/>
    <w:rsid w:val="000526F1"/>
    <w:rsid w:val="00081875"/>
    <w:rsid w:val="00095327"/>
    <w:rsid w:val="00111F11"/>
    <w:rsid w:val="001134E7"/>
    <w:rsid w:val="00113DB2"/>
    <w:rsid w:val="001465FB"/>
    <w:rsid w:val="00153413"/>
    <w:rsid w:val="00186D2D"/>
    <w:rsid w:val="001A3765"/>
    <w:rsid w:val="001A7BF1"/>
    <w:rsid w:val="001F41AE"/>
    <w:rsid w:val="002034D3"/>
    <w:rsid w:val="00207622"/>
    <w:rsid w:val="00212681"/>
    <w:rsid w:val="002200F2"/>
    <w:rsid w:val="002357E3"/>
    <w:rsid w:val="00264F9D"/>
    <w:rsid w:val="002D0EB1"/>
    <w:rsid w:val="002F0D5B"/>
    <w:rsid w:val="00302C17"/>
    <w:rsid w:val="00307B4A"/>
    <w:rsid w:val="00316933"/>
    <w:rsid w:val="00365AB4"/>
    <w:rsid w:val="0037296A"/>
    <w:rsid w:val="003772E4"/>
    <w:rsid w:val="003B05CF"/>
    <w:rsid w:val="003D03CF"/>
    <w:rsid w:val="004204E8"/>
    <w:rsid w:val="00440B5A"/>
    <w:rsid w:val="004429C7"/>
    <w:rsid w:val="004852FC"/>
    <w:rsid w:val="004A1607"/>
    <w:rsid w:val="004A1689"/>
    <w:rsid w:val="004A6752"/>
    <w:rsid w:val="004B3E8B"/>
    <w:rsid w:val="004B4E73"/>
    <w:rsid w:val="004C7128"/>
    <w:rsid w:val="004E0E55"/>
    <w:rsid w:val="004E67DA"/>
    <w:rsid w:val="00534873"/>
    <w:rsid w:val="005363FB"/>
    <w:rsid w:val="005512DC"/>
    <w:rsid w:val="005613E6"/>
    <w:rsid w:val="00561B17"/>
    <w:rsid w:val="00567162"/>
    <w:rsid w:val="00594821"/>
    <w:rsid w:val="005A1928"/>
    <w:rsid w:val="005A3445"/>
    <w:rsid w:val="005F1028"/>
    <w:rsid w:val="00611EB1"/>
    <w:rsid w:val="00612871"/>
    <w:rsid w:val="0064396F"/>
    <w:rsid w:val="00657820"/>
    <w:rsid w:val="00695A7F"/>
    <w:rsid w:val="006C7F10"/>
    <w:rsid w:val="006E3575"/>
    <w:rsid w:val="007464C6"/>
    <w:rsid w:val="00756D37"/>
    <w:rsid w:val="00784A8C"/>
    <w:rsid w:val="00797F6C"/>
    <w:rsid w:val="007A473A"/>
    <w:rsid w:val="007A780B"/>
    <w:rsid w:val="007B25CA"/>
    <w:rsid w:val="007C017C"/>
    <w:rsid w:val="007D44BD"/>
    <w:rsid w:val="0082130F"/>
    <w:rsid w:val="00836E70"/>
    <w:rsid w:val="008726A4"/>
    <w:rsid w:val="008774C5"/>
    <w:rsid w:val="00895FD6"/>
    <w:rsid w:val="00897ED2"/>
    <w:rsid w:val="008B74CB"/>
    <w:rsid w:val="008D7BCA"/>
    <w:rsid w:val="008E7583"/>
    <w:rsid w:val="0090423E"/>
    <w:rsid w:val="00913CC7"/>
    <w:rsid w:val="00917852"/>
    <w:rsid w:val="00945992"/>
    <w:rsid w:val="00963A2F"/>
    <w:rsid w:val="00966F03"/>
    <w:rsid w:val="00971981"/>
    <w:rsid w:val="00975ECB"/>
    <w:rsid w:val="009F650A"/>
    <w:rsid w:val="00A302B3"/>
    <w:rsid w:val="00A725BD"/>
    <w:rsid w:val="00AA075E"/>
    <w:rsid w:val="00AB5E9A"/>
    <w:rsid w:val="00AB60A4"/>
    <w:rsid w:val="00AE07CE"/>
    <w:rsid w:val="00B1722C"/>
    <w:rsid w:val="00B53E8C"/>
    <w:rsid w:val="00B641F6"/>
    <w:rsid w:val="00B672CA"/>
    <w:rsid w:val="00BD0609"/>
    <w:rsid w:val="00C039F2"/>
    <w:rsid w:val="00C34D8C"/>
    <w:rsid w:val="00C74649"/>
    <w:rsid w:val="00C764BB"/>
    <w:rsid w:val="00C8241A"/>
    <w:rsid w:val="00C82821"/>
    <w:rsid w:val="00CA052E"/>
    <w:rsid w:val="00CA06B2"/>
    <w:rsid w:val="00CA3DAE"/>
    <w:rsid w:val="00CB0B52"/>
    <w:rsid w:val="00CB7363"/>
    <w:rsid w:val="00CC53CD"/>
    <w:rsid w:val="00CC75D4"/>
    <w:rsid w:val="00CE06D0"/>
    <w:rsid w:val="00D028B7"/>
    <w:rsid w:val="00D02B06"/>
    <w:rsid w:val="00D14206"/>
    <w:rsid w:val="00D33D77"/>
    <w:rsid w:val="00D35B61"/>
    <w:rsid w:val="00D91BFF"/>
    <w:rsid w:val="00DA029C"/>
    <w:rsid w:val="00DE7137"/>
    <w:rsid w:val="00DF08FE"/>
    <w:rsid w:val="00E24ACC"/>
    <w:rsid w:val="00E40B0E"/>
    <w:rsid w:val="00E577EE"/>
    <w:rsid w:val="00E577EF"/>
    <w:rsid w:val="00E95C64"/>
    <w:rsid w:val="00EC1414"/>
    <w:rsid w:val="00EC4E70"/>
    <w:rsid w:val="00EC76FA"/>
    <w:rsid w:val="00EE04AB"/>
    <w:rsid w:val="00EF6552"/>
    <w:rsid w:val="00F32F6B"/>
    <w:rsid w:val="00F4797B"/>
    <w:rsid w:val="00F831C0"/>
    <w:rsid w:val="00F96900"/>
    <w:rsid w:val="00FA275C"/>
    <w:rsid w:val="00FD048B"/>
    <w:rsid w:val="00FF3B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FB"/>
    <w:pPr>
      <w:jc w:val="both"/>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E04AB"/>
    <w:pPr>
      <w:ind w:left="720"/>
    </w:pPr>
  </w:style>
  <w:style w:type="paragraph" w:styleId="NormalWeb">
    <w:name w:val="Normal (Web)"/>
    <w:basedOn w:val="Normal"/>
    <w:uiPriority w:val="99"/>
    <w:rsid w:val="00B641F6"/>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611EB1"/>
    <w:rPr>
      <w:b/>
      <w:bCs/>
    </w:rPr>
  </w:style>
  <w:style w:type="paragraph" w:styleId="stbilgi">
    <w:name w:val="header"/>
    <w:basedOn w:val="Normal"/>
    <w:link w:val="stbilgiChar"/>
    <w:uiPriority w:val="99"/>
    <w:semiHidden/>
    <w:rsid w:val="00966F03"/>
    <w:pPr>
      <w:tabs>
        <w:tab w:val="center" w:pos="4536"/>
        <w:tab w:val="right" w:pos="9072"/>
      </w:tabs>
    </w:pPr>
  </w:style>
  <w:style w:type="character" w:customStyle="1" w:styleId="stbilgiChar">
    <w:name w:val="Üstbilgi Char"/>
    <w:basedOn w:val="VarsaylanParagrafYazTipi"/>
    <w:link w:val="stbilgi"/>
    <w:uiPriority w:val="99"/>
    <w:semiHidden/>
    <w:locked/>
    <w:rsid w:val="00966F03"/>
  </w:style>
  <w:style w:type="paragraph" w:styleId="Altbilgi">
    <w:name w:val="footer"/>
    <w:basedOn w:val="Normal"/>
    <w:link w:val="AltbilgiChar"/>
    <w:uiPriority w:val="99"/>
    <w:semiHidden/>
    <w:rsid w:val="00966F03"/>
    <w:pPr>
      <w:tabs>
        <w:tab w:val="center" w:pos="4536"/>
        <w:tab w:val="right" w:pos="9072"/>
      </w:tabs>
    </w:pPr>
  </w:style>
  <w:style w:type="character" w:customStyle="1" w:styleId="AltbilgiChar">
    <w:name w:val="Altbilgi Char"/>
    <w:basedOn w:val="VarsaylanParagrafYazTipi"/>
    <w:link w:val="Altbilgi"/>
    <w:uiPriority w:val="99"/>
    <w:semiHidden/>
    <w:locked/>
    <w:rsid w:val="00966F03"/>
  </w:style>
</w:styles>
</file>

<file path=word/webSettings.xml><?xml version="1.0" encoding="utf-8"?>
<w:webSettings xmlns:r="http://schemas.openxmlformats.org/officeDocument/2006/relationships" xmlns:w="http://schemas.openxmlformats.org/wordprocessingml/2006/main">
  <w:divs>
    <w:div w:id="91635403">
      <w:marLeft w:val="0"/>
      <w:marRight w:val="0"/>
      <w:marTop w:val="0"/>
      <w:marBottom w:val="0"/>
      <w:divBdr>
        <w:top w:val="none" w:sz="0" w:space="0" w:color="auto"/>
        <w:left w:val="none" w:sz="0" w:space="0" w:color="auto"/>
        <w:bottom w:val="none" w:sz="0" w:space="0" w:color="auto"/>
        <w:right w:val="none" w:sz="0" w:space="0" w:color="auto"/>
      </w:divBdr>
    </w:div>
    <w:div w:id="91635404">
      <w:marLeft w:val="0"/>
      <w:marRight w:val="0"/>
      <w:marTop w:val="0"/>
      <w:marBottom w:val="0"/>
      <w:divBdr>
        <w:top w:val="none" w:sz="0" w:space="0" w:color="auto"/>
        <w:left w:val="none" w:sz="0" w:space="0" w:color="auto"/>
        <w:bottom w:val="none" w:sz="0" w:space="0" w:color="auto"/>
        <w:right w:val="none" w:sz="0" w:space="0" w:color="auto"/>
      </w:divBdr>
    </w:div>
    <w:div w:id="91635405">
      <w:marLeft w:val="0"/>
      <w:marRight w:val="0"/>
      <w:marTop w:val="0"/>
      <w:marBottom w:val="0"/>
      <w:divBdr>
        <w:top w:val="none" w:sz="0" w:space="0" w:color="auto"/>
        <w:left w:val="none" w:sz="0" w:space="0" w:color="auto"/>
        <w:bottom w:val="none" w:sz="0" w:space="0" w:color="auto"/>
        <w:right w:val="none" w:sz="0" w:space="0" w:color="auto"/>
      </w:divBdr>
    </w:div>
    <w:div w:id="91635406">
      <w:marLeft w:val="0"/>
      <w:marRight w:val="0"/>
      <w:marTop w:val="0"/>
      <w:marBottom w:val="0"/>
      <w:divBdr>
        <w:top w:val="none" w:sz="0" w:space="0" w:color="auto"/>
        <w:left w:val="none" w:sz="0" w:space="0" w:color="auto"/>
        <w:bottom w:val="none" w:sz="0" w:space="0" w:color="auto"/>
        <w:right w:val="none" w:sz="0" w:space="0" w:color="auto"/>
      </w:divBdr>
    </w:div>
    <w:div w:id="91635407">
      <w:marLeft w:val="0"/>
      <w:marRight w:val="0"/>
      <w:marTop w:val="0"/>
      <w:marBottom w:val="0"/>
      <w:divBdr>
        <w:top w:val="none" w:sz="0" w:space="0" w:color="auto"/>
        <w:left w:val="none" w:sz="0" w:space="0" w:color="auto"/>
        <w:bottom w:val="none" w:sz="0" w:space="0" w:color="auto"/>
        <w:right w:val="none" w:sz="0" w:space="0" w:color="auto"/>
      </w:divBdr>
    </w:div>
    <w:div w:id="91635408">
      <w:marLeft w:val="0"/>
      <w:marRight w:val="0"/>
      <w:marTop w:val="0"/>
      <w:marBottom w:val="0"/>
      <w:divBdr>
        <w:top w:val="none" w:sz="0" w:space="0" w:color="auto"/>
        <w:left w:val="none" w:sz="0" w:space="0" w:color="auto"/>
        <w:bottom w:val="none" w:sz="0" w:space="0" w:color="auto"/>
        <w:right w:val="none" w:sz="0" w:space="0" w:color="auto"/>
      </w:divBdr>
    </w:div>
    <w:div w:id="91635409">
      <w:marLeft w:val="0"/>
      <w:marRight w:val="0"/>
      <w:marTop w:val="0"/>
      <w:marBottom w:val="0"/>
      <w:divBdr>
        <w:top w:val="none" w:sz="0" w:space="0" w:color="auto"/>
        <w:left w:val="none" w:sz="0" w:space="0" w:color="auto"/>
        <w:bottom w:val="none" w:sz="0" w:space="0" w:color="auto"/>
        <w:right w:val="none" w:sz="0" w:space="0" w:color="auto"/>
      </w:divBdr>
    </w:div>
    <w:div w:id="91635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Company>C@NgO</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2019-02-13T10:00:00Z</cp:lastPrinted>
  <dcterms:created xsi:type="dcterms:W3CDTF">2019-02-18T11:48:00Z</dcterms:created>
  <dcterms:modified xsi:type="dcterms:W3CDTF">2019-02-18T11:49:00Z</dcterms:modified>
</cp:coreProperties>
</file>